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F4E93" w:rsidTr="00DF4FDD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4E93" w:rsidRDefault="00CF4E93" w:rsidP="0094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F4E93" w:rsidRDefault="00CF4E93" w:rsidP="0094596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F4E93" w:rsidRDefault="00CF4E93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F4E93" w:rsidRDefault="00CF4E93" w:rsidP="0094596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E93" w:rsidRDefault="00CF4E93" w:rsidP="00945969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4E93" w:rsidRDefault="00CF4E93" w:rsidP="00945969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CF4E93" w:rsidRDefault="00CF4E93" w:rsidP="00945969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4E93" w:rsidRDefault="00CF4E93" w:rsidP="00945969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F4E93" w:rsidRDefault="00CF4E93" w:rsidP="0094596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F4E93" w:rsidRDefault="00CF4E93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F4E93" w:rsidRDefault="00CF4E93" w:rsidP="009459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F4FDD" w:rsidRDefault="00DF4FDD" w:rsidP="00DF4FDD">
      <w:pPr>
        <w:spacing w:after="0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DF4FDD" w:rsidRDefault="00DF4FDD" w:rsidP="00DF4FDD">
      <w:pPr>
        <w:rPr>
          <w:rFonts w:ascii="Times New Roman" w:hAnsi="Times New Roman"/>
        </w:rPr>
      </w:pPr>
      <w:r>
        <w:t xml:space="preserve">«05 »  апрель </w:t>
      </w:r>
      <w:r>
        <w:rPr>
          <w:rFonts w:ascii="TimBashk" w:hAnsi="TimBashk"/>
        </w:rPr>
        <w:t xml:space="preserve"> </w:t>
      </w:r>
      <w:r>
        <w:t xml:space="preserve">2022 </w:t>
      </w:r>
      <w:proofErr w:type="spellStart"/>
      <w:r>
        <w:t>й</w:t>
      </w:r>
      <w:proofErr w:type="spellEnd"/>
      <w:r>
        <w:t>.                                                 №16                                            « 05 »апреля  2022 г.</w:t>
      </w:r>
    </w:p>
    <w:p w:rsidR="00F85B6C" w:rsidRPr="004A1C77" w:rsidRDefault="008A0E9D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CF4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4E93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CF4E9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0E9D" w:rsidRPr="00DF4FDD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:rsidR="00F85B6C" w:rsidRPr="008A0E9D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r w:rsidR="00CF4E93" w:rsidRPr="00EF7468">
        <w:rPr>
          <w:sz w:val="28"/>
          <w:szCs w:val="28"/>
          <w:lang w:val="en-US"/>
        </w:rPr>
        <w:t>http</w:t>
      </w:r>
      <w:r w:rsidR="00CF4E93" w:rsidRPr="00EF7468">
        <w:rPr>
          <w:sz w:val="28"/>
          <w:szCs w:val="28"/>
        </w:rPr>
        <w:t>://</w:t>
      </w:r>
      <w:proofErr w:type="spellStart"/>
      <w:r w:rsidR="00CF4E93" w:rsidRPr="00EF7468">
        <w:rPr>
          <w:sz w:val="28"/>
          <w:szCs w:val="28"/>
          <w:lang w:val="en-US"/>
        </w:rPr>
        <w:t>ishmuhamet</w:t>
      </w:r>
      <w:proofErr w:type="spellEnd"/>
      <w:r w:rsidR="00CF4E93" w:rsidRPr="00EF7468">
        <w:rPr>
          <w:sz w:val="28"/>
          <w:szCs w:val="28"/>
        </w:rPr>
        <w:t>.</w:t>
      </w:r>
      <w:proofErr w:type="spellStart"/>
      <w:r w:rsidR="00CF4E93" w:rsidRPr="00EF7468">
        <w:rPr>
          <w:sz w:val="28"/>
          <w:szCs w:val="28"/>
          <w:lang w:val="en-US"/>
        </w:rPr>
        <w:t>ru</w:t>
      </w:r>
      <w:proofErr w:type="spellEnd"/>
    </w:p>
    <w:p w:rsidR="00F85B6C" w:rsidRPr="004A1C77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proofErr w:type="spellStart"/>
      <w:r w:rsidR="00F85B6C" w:rsidRPr="004A1C77">
        <w:rPr>
          <w:rFonts w:ascii="Times New Roman" w:hAnsi="Times New Roman" w:cs="Times New Roman"/>
          <w:sz w:val="28"/>
          <w:szCs w:val="28"/>
        </w:rPr>
        <w:t>постановления</w:t>
      </w:r>
      <w:r w:rsidR="00CF4E93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="00CF4E93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7514">
        <w:rPr>
          <w:rFonts w:ascii="Times New Roman" w:hAnsi="Times New Roman" w:cs="Times New Roman"/>
          <w:sz w:val="28"/>
          <w:szCs w:val="28"/>
        </w:rPr>
        <w:t xml:space="preserve">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CF4E9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F4E93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C6501" w:rsidRPr="00E339FA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№</w:t>
      </w:r>
      <w:r w:rsidR="00DF4FDD">
        <w:rPr>
          <w:rFonts w:ascii="Times New Roman" w:hAnsi="Times New Roman" w:cs="Times New Roman"/>
          <w:sz w:val="20"/>
          <w:szCs w:val="20"/>
        </w:rPr>
        <w:t>16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от </w:t>
      </w:r>
      <w:r w:rsidR="00DF4FDD">
        <w:rPr>
          <w:rFonts w:ascii="Times New Roman" w:hAnsi="Times New Roman" w:cs="Times New Roman"/>
          <w:sz w:val="20"/>
          <w:szCs w:val="20"/>
        </w:rPr>
        <w:t>05.04.2022г.</w:t>
      </w: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bookmarkStart w:id="0" w:name="_GoBack"/>
      <w:bookmarkEnd w:id="0"/>
      <w:r w:rsidR="00215385" w:rsidRPr="00E339FA">
        <w:rPr>
          <w:rFonts w:ascii="Times New Roman" w:hAnsi="Times New Roman" w:cs="Times New Roman"/>
          <w:b/>
          <w:sz w:val="20"/>
          <w:szCs w:val="20"/>
        </w:rPr>
        <w:t>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B57514" w:rsidRPr="00E339F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лично,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1FA2" w:rsidRPr="00E339F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категория заявителей, которым предоставляется муниципальная услуга;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E339FA">
        <w:rPr>
          <w:rFonts w:ascii="Times New Roman" w:hAnsi="Times New Roman" w:cs="Times New Roman"/>
          <w:sz w:val="20"/>
          <w:szCs w:val="20"/>
        </w:rPr>
        <w:t>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>– Администрацией муниципального района Баймакский район Республики Башкортостан.</w:t>
      </w:r>
    </w:p>
    <w:p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 xml:space="preserve">или в форме электронного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приложением схемы границ сервитута на кадастровом плане территории, либо решение об отказе в установлении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сервитута).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номера кабинета и наименования отдела;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возможностью доступа к 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lastRenderedPageBreak/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о предоставлении муниципальной услуги и прилагаемых к нему документов в форме электронного документа.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:rsidR="00D86936" w:rsidRPr="00E339FA" w:rsidRDefault="00F60D63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3.6. Формирование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заявлений, поступивших с РПГУ,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:rsidR="008B4B13" w:rsidRPr="00E339FA" w:rsidRDefault="00F60D63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E339FA" w:rsidRDefault="00F60D6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2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устанавливает личность заявителя на основании документа, удостоверяющего личность в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соответствии с законодательством Российской Федерации;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7FC4" w:rsidRPr="00E339FA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__________________________________</w:t>
      </w:r>
    </w:p>
    <w:p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2AE2" w:rsidRPr="00E339FA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A9F" w:rsidRPr="00E339FA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D98" w:rsidRPr="00E339FA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A9F" w:rsidRPr="00E339FA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:rsidTr="00CB46D2">
        <w:trPr>
          <w:trHeight w:val="1415"/>
        </w:trPr>
        <w:tc>
          <w:tcPr>
            <w:tcW w:w="2699" w:type="dxa"/>
          </w:tcPr>
          <w:p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 возможности заключения соглашения об установлении сервитута 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на кадастровом плане территории, либо уведомление об отказе в установлении сервитута).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:rsidTr="00CB46D2">
        <w:trPr>
          <w:trHeight w:val="20"/>
        </w:trPr>
        <w:tc>
          <w:tcPr>
            <w:tcW w:w="15469" w:type="dxa"/>
            <w:gridSpan w:val="8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:rsidTr="00CB46D2">
        <w:trPr>
          <w:trHeight w:val="1566"/>
        </w:trPr>
        <w:tc>
          <w:tcPr>
            <w:tcW w:w="2712" w:type="dxa"/>
            <w:gridSpan w:val="2"/>
          </w:tcPr>
          <w:p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:rsidTr="00CB46D2">
        <w:trPr>
          <w:trHeight w:val="20"/>
        </w:trPr>
        <w:tc>
          <w:tcPr>
            <w:tcW w:w="15469" w:type="dxa"/>
            <w:gridSpan w:val="8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:rsidTr="00CB46D2">
        <w:trPr>
          <w:trHeight w:val="20"/>
        </w:trPr>
        <w:tc>
          <w:tcPr>
            <w:tcW w:w="2712" w:type="dxa"/>
            <w:gridSpan w:val="2"/>
          </w:tcPr>
          <w:p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32" w:rsidRDefault="000B7032">
      <w:pPr>
        <w:spacing w:after="0" w:line="240" w:lineRule="auto"/>
      </w:pPr>
      <w:r>
        <w:separator/>
      </w:r>
    </w:p>
  </w:endnote>
  <w:endnote w:type="continuationSeparator" w:id="0">
    <w:p w:rsidR="000B7032" w:rsidRDefault="000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32" w:rsidRDefault="000B7032">
      <w:pPr>
        <w:spacing w:after="0" w:line="240" w:lineRule="auto"/>
      </w:pPr>
      <w:r>
        <w:separator/>
      </w:r>
    </w:p>
  </w:footnote>
  <w:footnote w:type="continuationSeparator" w:id="0">
    <w:p w:rsidR="000B7032" w:rsidRDefault="000B7032">
      <w:pPr>
        <w:spacing w:after="0" w:line="240" w:lineRule="auto"/>
      </w:pPr>
      <w:r>
        <w:continuationSeparator/>
      </w:r>
    </w:p>
  </w:footnote>
  <w:footnote w:id="1">
    <w:p w:rsidR="008A0E9D" w:rsidRDefault="008A0E9D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8A0E9D" w:rsidRDefault="008A0E9D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13318"/>
      <w:docPartObj>
        <w:docPartGallery w:val="Page Numbers (Top of Page)"/>
        <w:docPartUnique/>
      </w:docPartObj>
    </w:sdtPr>
    <w:sdtContent>
      <w:p w:rsidR="008A0E9D" w:rsidRDefault="00F60D63">
        <w:pPr>
          <w:pStyle w:val="a3"/>
          <w:jc w:val="center"/>
        </w:pPr>
        <w:r>
          <w:fldChar w:fldCharType="begin"/>
        </w:r>
        <w:r w:rsidR="008A0E9D">
          <w:instrText>PAGE   \* MERGEFORMAT</w:instrText>
        </w:r>
        <w:r>
          <w:fldChar w:fldCharType="separate"/>
        </w:r>
        <w:r w:rsidR="00DF4FDD">
          <w:rPr>
            <w:noProof/>
          </w:rPr>
          <w:t>9</w:t>
        </w:r>
        <w:r>
          <w:fldChar w:fldCharType="end"/>
        </w:r>
      </w:p>
    </w:sdtContent>
  </w:sdt>
  <w:p w:rsidR="008A0E9D" w:rsidRDefault="008A0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D" w:rsidRPr="00ED09D2" w:rsidRDefault="008A0E9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0E9D" w:rsidRDefault="008A0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0057"/>
    <w:rsid w:val="000001C5"/>
    <w:rsid w:val="00000276"/>
    <w:rsid w:val="0000261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3D68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B7032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4E93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4FDD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0D63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57A4-C94F-42B6-8A02-9527EEB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17122</Words>
  <Characters>97601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сп ишмухамет</cp:lastModifiedBy>
  <cp:revision>4</cp:revision>
  <cp:lastPrinted>2021-12-14T10:20:00Z</cp:lastPrinted>
  <dcterms:created xsi:type="dcterms:W3CDTF">2022-03-21T09:37:00Z</dcterms:created>
  <dcterms:modified xsi:type="dcterms:W3CDTF">2022-04-05T04:01:00Z</dcterms:modified>
</cp:coreProperties>
</file>